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744"/>
        <w:gridCol w:w="8460"/>
      </w:tblGrid>
      <w:tr w:rsidR="00F43D1B" w:rsidRPr="00F43D1B" w14:paraId="186EFF5E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6A32F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Podpůrná opatření prvního </w:t>
            </w:r>
            <w:proofErr w:type="gramStart"/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stupně - obecně</w:t>
            </w:r>
            <w:proofErr w:type="gramEnd"/>
          </w:p>
        </w:tc>
      </w:tr>
      <w:tr w:rsidR="00F43D1B" w:rsidRPr="00F43D1B" w14:paraId="5377A142" w14:textId="77777777" w:rsidTr="00F43D1B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782F3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Podpůrná opatření prvního stupně slouží ke kompenzaci mírných obtíží ve vzdělávání žáka (např. pomalejší tempo práce, drobné obtíže ve čtení, psaní, počítáni, problémy se zapomínáním, drobné obtíže v koncentraci pozornosti atd.), u nichž je možné prostřednictvím mírných úprav v režimu školní výuky a domácí přípravy dosáhnout zlepšení; zahrnují také podporu žáků z důvodů akcelerovaného vývoje školních dovedností.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Úpravy ve vzdělávání žáka navrhují pedagogičtí pracovníci, přitom spolupracují s pedagogickým pracovníkem poskytujícím poradenské služby ve škole (dále jen „poradenský pracovník školy“) a zletilým žákem nebo zákonným zástupcem žáka. Obtíže žáka jsou dále vyvolané zejména aktuálně nepříznivým zdravotním nebo psychickým stavem, případně se jedná o dlouhodobé problémy malého rozsahu a intenzity. Škola zohledňuje sociální status, vztahovou síť žáka a jeho sociální a rodinné prostředí. Pokud žák dochází do školského zařízení, které se podílí na vzdělávání žáka (zejména v případě zájmového vzdělávání) a charakter jeho obtíží to vyžaduje, informuje škola tato zařízení o charakteru podpory žáka školou, tak aby i tato zařízení respektovala vzdělávací potřeby žáka. Podpůrná opatření směřují k naplňování speciálních vzdělávacích potřeb žáka, které nevyžadují opatření s normovanou finanční náročností, přitom pokud jsou účelné, mohou podporovat žáka v celém průběhu jeho vzdělávání.</w:t>
            </w:r>
          </w:p>
        </w:tc>
      </w:tr>
      <w:tr w:rsidR="00F43D1B" w:rsidRPr="00F43D1B" w14:paraId="4C24B726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239EB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PODMÍNKY K ZAJIŠTĚNÍ PODPŮRNÝCH OPATŘENÍ</w:t>
            </w:r>
          </w:p>
        </w:tc>
      </w:tr>
      <w:tr w:rsidR="00F43D1B" w:rsidRPr="00F43D1B" w14:paraId="200AE740" w14:textId="77777777" w:rsidTr="00F43D1B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31149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Pravidelné konzultace pedagogických pracovníků a vyhodnocování zvolených postupů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Materiální podpora se poskytuje podle podmínek školy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Prostředky pedagogické podpory žáka, zejména didaktické úpravy průběhu vyučování a práce s učivem.</w:t>
            </w:r>
          </w:p>
        </w:tc>
      </w:tr>
      <w:tr w:rsidR="00F43D1B" w:rsidRPr="00F43D1B" w14:paraId="5390C19D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651E6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PORADENSKÁ POMOC ŠKOLY A ŠKOLSKÉHO PORADENSKÉHO ZAŘÍZENÍ</w:t>
            </w:r>
          </w:p>
        </w:tc>
      </w:tr>
      <w:tr w:rsidR="00F43D1B" w:rsidRPr="00F43D1B" w14:paraId="5B396479" w14:textId="77777777" w:rsidTr="00F43D1B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094CD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Poskytování poradenské pomoci ve škole zajišťují zejména poradenští pracovníci školy: školní metodik prevence se věnuje péči o žáky s rizikovým chováním a prevenci rizikového chování, výchovný poradce se věnuje podpoře žáků a pedagogických pracovníků při vzdělávání žáků s potřebou uplatňování podpůrných opatření, pokud ve škole pracuje školní psycholog nebo školní speciální pedagog, tak se podílí na poskytování poradenských služeb i realizaci předmětu speciálně pedagogické péče. Poradenský pracovník školy spolupracuje s dalšími pedagogickými pracovníky, zejména s třídními učiteli, a zajišťuje pravidelnou komunikaci se zákonným zástupcem žáka nebo zletilým žákem. Pravidelně komunikuje se školskými poradenskými zařízeními, která zajišťují návrhy podpůrných opatření a podílejí se na jejich realizaci ve školách. Školy a školská zařízení, která se podílejí na vzdělávání žáka, postupují za účelem jeho podpory ve vzájemné součinnosti.</w:t>
            </w:r>
          </w:p>
        </w:tc>
      </w:tr>
      <w:tr w:rsidR="00F43D1B" w:rsidRPr="00F43D1B" w14:paraId="2A3E8F06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0544B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NORMOVANÁ FINANČNÍ NÁROČNOST</w:t>
            </w:r>
          </w:p>
        </w:tc>
      </w:tr>
      <w:tr w:rsidR="00F43D1B" w:rsidRPr="00F43D1B" w14:paraId="029CF6C1" w14:textId="77777777" w:rsidTr="00F43D1B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1A17C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normované finanční náročnosti.</w:t>
            </w:r>
          </w:p>
        </w:tc>
      </w:tr>
      <w:tr w:rsidR="00F43D1B" w:rsidRPr="00F43D1B" w14:paraId="206F5341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30262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FORMA VZDĚLÁVANÍ</w:t>
            </w:r>
          </w:p>
        </w:tc>
      </w:tr>
      <w:tr w:rsidR="00F43D1B" w:rsidRPr="00F43D1B" w14:paraId="5FC5ACD2" w14:textId="77777777" w:rsidTr="00F43D1B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9B370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Forma vzdělávání je volena na základě věku žáka a tomu odpovídajícího stupně vzdělávání a podle požadavků na organizaci jeho vzdělávání, které vždy respektují speciální vzdělávací potřeby žáka nebo jiné závažné důvody na straně žáka.</w:t>
            </w:r>
          </w:p>
        </w:tc>
      </w:tr>
      <w:tr w:rsidR="00F43D1B" w:rsidRPr="00F43D1B" w14:paraId="09028610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3EC06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VÝCHODISKA PRO POSKYTOVANÍ PODPŮRNÝCH OPATŘENÍ</w:t>
            </w:r>
          </w:p>
        </w:tc>
      </w:tr>
      <w:tr w:rsidR="00F43D1B" w:rsidRPr="00F43D1B" w14:paraId="17EE0B27" w14:textId="77777777" w:rsidTr="00F43D1B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DCC29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Pozorování v hodině, rozhovor (se žákem nebo zákonným zástupcem žáka).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Prověřování znalostí a dovedností žáka a reflexe jeho výsledků.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Analýza procesů, výkonů a výsledků činností žáka, využívání portfolia žákovských prací.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Analýza domácí přípravy žáka a dosavadního pedagogického působení školy.</w:t>
            </w:r>
          </w:p>
        </w:tc>
      </w:tr>
      <w:tr w:rsidR="00F43D1B" w:rsidRPr="00F43D1B" w14:paraId="6E924D39" w14:textId="77777777" w:rsidTr="00F43D1B">
        <w:tc>
          <w:tcPr>
            <w:tcW w:w="0" w:type="auto"/>
            <w:gridSpan w:val="3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E8ADF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PŘÍKLADY PODPŮRNÝCH OPATŘENÍ V PRVNÍM STUPNI</w:t>
            </w:r>
          </w:p>
        </w:tc>
      </w:tr>
      <w:tr w:rsidR="00F43D1B" w:rsidRPr="00F43D1B" w14:paraId="751E6895" w14:textId="77777777" w:rsidTr="00F43D1B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97718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Metody výuky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AC96E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Zvolené metody práce podporují kvalitu poznávacích procesů žáka, zvláště pak aparátu řídícího osvojování učiva (myšlení, pozornost, paměť), rozvíjejí a podporují preferované učební styly žáka, respektují míru nadání žáka a jeho specifika.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Orientují se na rozvíjení informačně receptivních metod zaměřených na rozvoj vnímání, na práci s textem a obrazem, dále na reproduktivní metody upevňující zapamatování, které vedou k osvojování vědomostí a dovedností pomocí opakování a procvičování. Preferují řešení typových úloh a problémů.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Aktivizují a motivují žáka, upevňují pracovní návyky.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Klade se důraz na individualizaci výuky (zahrnuje zohledňování individuálních potřeb žáka, respektování pracovních specifik žáka, stylů učení, doplňující výklad nebo procvičování, princip </w:t>
            </w:r>
            <w:proofErr w:type="spellStart"/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multisenzorického</w:t>
            </w:r>
            <w:proofErr w:type="spellEnd"/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přístupu, nastavení dílčích cílů tak, aby žák mohl prožívat úspěch, opakované vracení se ke klíčovým pojmům a dovednostem aj.).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Volí se taková forma práce, která umožní častější kontrolu a poskytování zpětné vazby, respektování pracovního tempa žáka, stanovení odlišných časových limitů pro plnění úkolů.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Zadávání domácích úkolů zohledňuje možnosti žáka a podmínky, které má žák k jejich plnění.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 vyučovací hodině se věnuje větší pozornost formám a metodám výuky, struktuře vyučovací hodiny, přiměřenosti vyučování, logické organizaci a srozumitelnosti předkládaného učiva, motivaci k učení a opakování základních principů učiva, které směřuje ke zvyšování koncentrace pozornosti žáka a ke zlepšení jeho motivace; současně je zohledňován sociální status a vztahová síť žáka a prostředí, ze kterého žák přichází do školy.</w:t>
            </w:r>
          </w:p>
        </w:tc>
      </w:tr>
      <w:tr w:rsidR="00F43D1B" w:rsidRPr="00F43D1B" w14:paraId="288B8EA8" w14:textId="77777777" w:rsidTr="00F43D1B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F245A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Úprava obsahu a výstupů vzdělávání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24CDD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Obohacování učiva (dílčích výstupů) nad rámec školního vzdělávacího programu, formy obohacování se volí nejčastěji pro nadané a mimořádně nadané žáky podle charakteru jejich nadání. Cílem tohoto postupuje učivo prohloubit, rozšířit a obohatit o další informace, stimulovat procesy objevování a vyhledávání dalších souvislostí a vazeb, které dané téma vzdělávání nabízí.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Výstupy vzdělávání se neupravují.</w:t>
            </w:r>
          </w:p>
        </w:tc>
      </w:tr>
      <w:tr w:rsidR="00F43D1B" w:rsidRPr="00F43D1B" w14:paraId="523D416C" w14:textId="77777777" w:rsidTr="00F43D1B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C8ABE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 Organizace výuky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347FA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podporu žákovy práce se doporučuje zejména: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nastavení pravidel průběhu a struktury vyučovací hodiny (střídání forem a činností během výuky),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změna zasedacího pořádku či uspořádání třídy v rámci vyučovací jednotky a se zřetelem k charakteru výuky a potřebám žáků,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diferenciace výuky, skupinová a kooperativní výuka,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zohlednění postavení žáka ve skupině (třídě),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nabídka volnočasových aktivit (ve škole) a podpora rozvoje zájmů žáka,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- organizační podpora mimoškolního vzdělávání, včetně odborných exkurzí a stáží.</w:t>
            </w:r>
          </w:p>
        </w:tc>
      </w:tr>
      <w:tr w:rsidR="00F43D1B" w:rsidRPr="00F43D1B" w14:paraId="6583B418" w14:textId="77777777" w:rsidTr="00F43D1B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3B2E4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 Hodnocení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28276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Využívání různých forem hodnocení, práce s kritérii hodnocení v závislosti na charakteru žákova problému, s důrazem na podporu rozvoje dovedností a vědomostí žáka, zohlednění akcelerovaného vývoje nadaných žáků v práci s učivem. Podpora autonomního hodnocení (sebehodnocení). Hodnocení vždy musí zohledňovat sociální kontext, ve kterém probíhá, a směřovat nejen k vyhodnocení úspěšnosti žákova učení, ale také k posílení jeho motivace pro vzdělávání.</w:t>
            </w:r>
          </w:p>
        </w:tc>
      </w:tr>
      <w:tr w:rsidR="00F43D1B" w:rsidRPr="00F43D1B" w14:paraId="20D90A84" w14:textId="77777777" w:rsidTr="00F43D1B">
        <w:tc>
          <w:tcPr>
            <w:tcW w:w="0" w:type="auto"/>
            <w:vMerge w:val="restart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0E4A6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5. Intervence školy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0654F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5.1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Přímá podpora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B5999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Etapa přímé podpory žáka ve výuce učitelem nebo jiným pedagogickým pracovníkem. Slouží ke zmapování možných forem podpory žáka. Pokud nepostačuje tato forma podpory a žákovy obtíže vyžadují součinnost více pedagogických pracovníků, je vytvářen plán pedagogické podpory (PLPP).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Poskytování pedagogické intervence.</w:t>
            </w:r>
          </w:p>
        </w:tc>
      </w:tr>
      <w:tr w:rsidR="00F43D1B" w:rsidRPr="00F43D1B" w14:paraId="7F5AE5AD" w14:textId="77777777" w:rsidTr="00F43D1B">
        <w:tc>
          <w:tcPr>
            <w:tcW w:w="0" w:type="auto"/>
            <w:vMerge/>
            <w:vAlign w:val="center"/>
            <w:hideMark/>
          </w:tcPr>
          <w:p w14:paraId="41752BD1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EBDCD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5.2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Metodická podpora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44941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Poskytování metodické a konzultační podpory pedagogickým pracovníkům, žákům a zákonným zástupcům </w:t>
            </w:r>
            <w:proofErr w:type="gramStart"/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žáků - ze</w:t>
            </w:r>
            <w:proofErr w:type="gramEnd"/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strany poradenských pracovníků školy.</w:t>
            </w:r>
          </w:p>
        </w:tc>
      </w:tr>
      <w:tr w:rsidR="00F43D1B" w:rsidRPr="00F43D1B" w14:paraId="420457B8" w14:textId="77777777" w:rsidTr="00F43D1B">
        <w:tc>
          <w:tcPr>
            <w:tcW w:w="0" w:type="auto"/>
            <w:vMerge/>
            <w:vAlign w:val="center"/>
            <w:hideMark/>
          </w:tcPr>
          <w:p w14:paraId="5D2A1E59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B357E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5.3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Navrhovatel a koordinátor opatření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FF198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Škola na základě podnětu pedagogických pracovníků školy, zletilých žáků nebo zákonných zástupců žáků informuje pedagogické pracovníky, kteří se podílejí na vzdělávání žáka, a zákonné zástupce o úpravách postupů ve vzdělávání žáka.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Vychází se z konzultace školy a zákonných zástupců o postupech vzdělávání, s cílem spolupráce na řešení problému žáka, předpokládá se i nespolupracující žák nebo zákonný zástupce žáka.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Spolupráce uvnitř školy</w:t>
            </w: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Ředitel školy pověří koordinací plánu pedagogické podpory třídního učitele, učitele předmětu nebo poradenského pracovníka školy.</w:t>
            </w:r>
          </w:p>
        </w:tc>
      </w:tr>
      <w:tr w:rsidR="00F43D1B" w:rsidRPr="00F43D1B" w14:paraId="269F7486" w14:textId="77777777" w:rsidTr="00F43D1B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5FF4B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 Pomůcky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3FA4BA" w14:textId="77777777" w:rsidR="00F43D1B" w:rsidRPr="00F43D1B" w:rsidRDefault="00F43D1B" w:rsidP="00F43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3D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Běžné učebnice a učební pomůcky.</w:t>
            </w:r>
          </w:p>
        </w:tc>
      </w:tr>
    </w:tbl>
    <w:p w14:paraId="3E1441EB" w14:textId="73C3A8D0" w:rsidR="000F1679" w:rsidRDefault="000F1679"/>
    <w:p w14:paraId="7DA47B0B" w14:textId="77777777" w:rsidR="00D42DD7" w:rsidRDefault="00D42DD7" w:rsidP="000F1679"/>
    <w:p w14:paraId="72FBF9EE" w14:textId="77777777" w:rsidR="00D42DD7" w:rsidRDefault="00D42DD7" w:rsidP="000F1679"/>
    <w:p w14:paraId="4A7F314C" w14:textId="77777777" w:rsidR="00D42DD7" w:rsidRDefault="00D42DD7" w:rsidP="000F1679"/>
    <w:p w14:paraId="7DC2E971" w14:textId="77777777" w:rsidR="00D42DD7" w:rsidRDefault="00D42DD7" w:rsidP="000F1679"/>
    <w:p w14:paraId="5F144F17" w14:textId="77777777" w:rsidR="00D42DD7" w:rsidRDefault="00D42DD7" w:rsidP="000F1679"/>
    <w:p w14:paraId="72088D46" w14:textId="77777777" w:rsidR="00D42DD7" w:rsidRDefault="00D42DD7" w:rsidP="000F1679"/>
    <w:p w14:paraId="776AC04B" w14:textId="77777777" w:rsidR="00D42DD7" w:rsidRDefault="00D42DD7" w:rsidP="000F1679"/>
    <w:p w14:paraId="5CBC2B6B" w14:textId="77777777" w:rsidR="00D42DD7" w:rsidRDefault="00D42DD7" w:rsidP="000F1679"/>
    <w:p w14:paraId="126669FC" w14:textId="77777777" w:rsidR="00D42DD7" w:rsidRDefault="00D42DD7" w:rsidP="000F1679"/>
    <w:p w14:paraId="0EA3DBDA" w14:textId="39DA9A83" w:rsidR="000F1679" w:rsidRDefault="000F1679" w:rsidP="000F1679">
      <w:bookmarkStart w:id="0" w:name="_GoBack"/>
      <w:bookmarkEnd w:id="0"/>
      <w:r>
        <w:lastRenderedPageBreak/>
        <w:t>V rámci 1PO volit metody práce, které:</w:t>
      </w:r>
    </w:p>
    <w:p w14:paraId="3F3600A1" w14:textId="77777777" w:rsidR="000F1679" w:rsidRDefault="000F1679" w:rsidP="000F1679">
      <w:r>
        <w:t>- podporují kvalitu poznávacích procesů žáka, respektují míru nadání žáka a jeho specifika (</w:t>
      </w:r>
      <w:proofErr w:type="spellStart"/>
      <w:r>
        <w:t>tj</w:t>
      </w:r>
      <w:proofErr w:type="spellEnd"/>
      <w:r>
        <w:t>, pomalé tempo práce, oslabení percepcí).</w:t>
      </w:r>
    </w:p>
    <w:p w14:paraId="15C2F071" w14:textId="77777777" w:rsidR="000F1679" w:rsidRDefault="000F1679" w:rsidP="000F1679">
      <w:r>
        <w:t>- rozvíjení informačně receptivních metod zaměřených na rozvoj vnímání, na práci s textem a obrazem, dále na reproduktivní metody upevňující zapamatování, které vedou k osvojování vědomostí a dovedností pomocí opakování a procvičování. Preferují řešení typových úloh a problémů.</w:t>
      </w:r>
    </w:p>
    <w:p w14:paraId="728ECB41" w14:textId="77777777" w:rsidR="000F1679" w:rsidRDefault="000F1679" w:rsidP="000F1679">
      <w:r>
        <w:t>- aktivizují a motivují žáka, upevňují pracovní návyky.</w:t>
      </w:r>
    </w:p>
    <w:p w14:paraId="6B188342" w14:textId="77777777" w:rsidR="000F1679" w:rsidRDefault="000F1679" w:rsidP="000F1679"/>
    <w:p w14:paraId="2670648D" w14:textId="77777777" w:rsidR="000F1679" w:rsidRDefault="000F1679" w:rsidP="000F1679">
      <w:r>
        <w:t xml:space="preserve">Individualizaci výuky (zahrnuje zohledňování individuálních potřeb žáka, respektování pracovních specifik žáka, stylů učení, doplňující výklad nebo procvičování, princip </w:t>
      </w:r>
      <w:proofErr w:type="spellStart"/>
      <w:r>
        <w:t>multisenzorického</w:t>
      </w:r>
      <w:proofErr w:type="spellEnd"/>
      <w:r>
        <w:t xml:space="preserve"> přístupu, nastavení dílčích cílů tak, aby žák mohl prožívat úspěch, opakované vracení se ke klíčovým pojmům a dovednostem aj.).</w:t>
      </w:r>
    </w:p>
    <w:p w14:paraId="40CE4C84" w14:textId="77777777" w:rsidR="000F1679" w:rsidRDefault="000F1679" w:rsidP="000F1679">
      <w:r>
        <w:t>Častější kontrola a poskytování zpětné vazby, respektování pracovního tempa žáka, stanovení odlišných časových limitů pro plnění úkolů.</w:t>
      </w:r>
    </w:p>
    <w:p w14:paraId="455A2EE2" w14:textId="77777777" w:rsidR="000F1679" w:rsidRDefault="000F1679" w:rsidP="000F1679">
      <w:r>
        <w:t>Zadávání domácích úkolů zohledňuje možnosti žáka a podmínky, které má žák k jejich plnění.</w:t>
      </w:r>
    </w:p>
    <w:p w14:paraId="2FC56028" w14:textId="77777777" w:rsidR="000F1679" w:rsidRDefault="000F1679" w:rsidP="000F1679"/>
    <w:p w14:paraId="4206A005" w14:textId="77777777" w:rsidR="000F1679" w:rsidRDefault="000F1679" w:rsidP="000F1679">
      <w:r>
        <w:t>Zvyšování koncentrace žáka: struktura vyučovací hodiny, přiměřenost vyučování, logické organizace a srozumitelnost předkládaného učiva, motivaci k učení a opakování základních principů učiva.</w:t>
      </w:r>
    </w:p>
    <w:p w14:paraId="01228925" w14:textId="1335B038" w:rsidR="000F1679" w:rsidRDefault="000F1679" w:rsidP="000F1679">
      <w:r>
        <w:t>Je zohledňován sociální status a vztahová síť žáka a prostředí, ze kterého žák přichází do školy.</w:t>
      </w:r>
    </w:p>
    <w:sectPr w:rsidR="000F1679" w:rsidSect="00141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55"/>
    <w:rsid w:val="00003CAD"/>
    <w:rsid w:val="000F1679"/>
    <w:rsid w:val="00141A55"/>
    <w:rsid w:val="004C0163"/>
    <w:rsid w:val="0078746D"/>
    <w:rsid w:val="007B7175"/>
    <w:rsid w:val="00D42DD7"/>
    <w:rsid w:val="00F4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6FD1"/>
  <w15:chartTrackingRefBased/>
  <w15:docId w15:val="{F68FF894-9A8A-4C85-AF02-11EC1862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1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41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CDC3FE9C4A04583677FE726240C8E" ma:contentTypeVersion="13" ma:contentTypeDescription="Vytvoří nový dokument" ma:contentTypeScope="" ma:versionID="a9c007b53c9b4a133df3b77af7c21815">
  <xsd:schema xmlns:xsd="http://www.w3.org/2001/XMLSchema" xmlns:xs="http://www.w3.org/2001/XMLSchema" xmlns:p="http://schemas.microsoft.com/office/2006/metadata/properties" xmlns:ns3="d1c09eb8-e92b-46f1-830b-ac4bc8cadb85" xmlns:ns4="8099aeaa-7612-433b-ae95-13a6d1d0f72f" targetNamespace="http://schemas.microsoft.com/office/2006/metadata/properties" ma:root="true" ma:fieldsID="4b0c8f459bf8879ccbaf5a193c32edb8" ns3:_="" ns4:_="">
    <xsd:import namespace="d1c09eb8-e92b-46f1-830b-ac4bc8cadb85"/>
    <xsd:import namespace="8099aeaa-7612-433b-ae95-13a6d1d0f7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9eb8-e92b-46f1-830b-ac4bc8ca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9aeaa-7612-433b-ae95-13a6d1d0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0BE37-1618-49DB-A12E-190391741DA2}">
  <ds:schemaRefs>
    <ds:schemaRef ds:uri="http://schemas.microsoft.com/office/2006/metadata/properties"/>
    <ds:schemaRef ds:uri="d1c09eb8-e92b-46f1-830b-ac4bc8cadb8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8099aeaa-7612-433b-ae95-13a6d1d0f72f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A9A237-D4BB-4441-947B-C177D2A21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09eb8-e92b-46f1-830b-ac4bc8cadb85"/>
    <ds:schemaRef ds:uri="8099aeaa-7612-433b-ae95-13a6d1d0f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4D041-4981-41C6-8A68-A74D4B1A0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1312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Eva Prokešová</dc:creator>
  <cp:keywords/>
  <dc:description/>
  <cp:lastModifiedBy>Jitka Eva Prokešová</cp:lastModifiedBy>
  <cp:revision>4</cp:revision>
  <dcterms:created xsi:type="dcterms:W3CDTF">2023-06-16T05:52:00Z</dcterms:created>
  <dcterms:modified xsi:type="dcterms:W3CDTF">2025-11-12T17:54:00Z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0x01010091CCDC3FE9C4A04583677FE726240C8E</vt:lpwstr>
  </property>
</Properties>
</file>